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4A" w:rsidRPr="006A2600" w:rsidRDefault="006A2600" w:rsidP="006A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6A2600">
        <w:rPr>
          <w:b/>
          <w:sz w:val="28"/>
          <w:szCs w:val="28"/>
        </w:rPr>
        <w:t>ore Competencies Form</w:t>
      </w:r>
    </w:p>
    <w:p w:rsidR="006A2600" w:rsidRDefault="006A26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0267"/>
      </w:tblGrid>
      <w:tr w:rsidR="00F70143" w:rsidTr="00F70143">
        <w:tc>
          <w:tcPr>
            <w:tcW w:w="3681" w:type="dxa"/>
            <w:shd w:val="clear" w:color="auto" w:fill="2E74B5" w:themeFill="accent1" w:themeFillShade="BF"/>
          </w:tcPr>
          <w:p w:rsidR="00F70143" w:rsidRPr="00F70143" w:rsidRDefault="00F70143" w:rsidP="00F70143">
            <w:pPr>
              <w:spacing w:before="120" w:after="120"/>
              <w:rPr>
                <w:b/>
                <w:color w:val="FFFFFF" w:themeColor="background1"/>
              </w:rPr>
            </w:pPr>
            <w:r w:rsidRPr="00F70143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0267" w:type="dxa"/>
          </w:tcPr>
          <w:p w:rsidR="00F70143" w:rsidRDefault="00F70143" w:rsidP="00F70143">
            <w:pPr>
              <w:spacing w:before="120" w:after="120"/>
            </w:pPr>
          </w:p>
        </w:tc>
      </w:tr>
      <w:tr w:rsidR="00F70143" w:rsidTr="00F70143">
        <w:tc>
          <w:tcPr>
            <w:tcW w:w="3681" w:type="dxa"/>
            <w:shd w:val="clear" w:color="auto" w:fill="2E74B5" w:themeFill="accent1" w:themeFillShade="BF"/>
          </w:tcPr>
          <w:p w:rsidR="00F70143" w:rsidRPr="00F70143" w:rsidRDefault="00F70143" w:rsidP="00F70143">
            <w:pPr>
              <w:spacing w:before="120" w:after="120"/>
              <w:rPr>
                <w:b/>
                <w:color w:val="FFFFFF" w:themeColor="background1"/>
              </w:rPr>
            </w:pPr>
            <w:r w:rsidRPr="00F70143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0267" w:type="dxa"/>
          </w:tcPr>
          <w:p w:rsidR="00F70143" w:rsidRDefault="00F70143" w:rsidP="00F70143">
            <w:pPr>
              <w:spacing w:before="120" w:after="120"/>
            </w:pPr>
          </w:p>
        </w:tc>
      </w:tr>
      <w:tr w:rsidR="00F70143" w:rsidTr="00F70143">
        <w:tc>
          <w:tcPr>
            <w:tcW w:w="3681" w:type="dxa"/>
            <w:shd w:val="clear" w:color="auto" w:fill="2E74B5" w:themeFill="accent1" w:themeFillShade="BF"/>
          </w:tcPr>
          <w:p w:rsidR="00F70143" w:rsidRPr="00F70143" w:rsidRDefault="00F70143" w:rsidP="00F70143">
            <w:pPr>
              <w:spacing w:before="120" w:after="120"/>
              <w:rPr>
                <w:b/>
                <w:color w:val="FFFFFF" w:themeColor="background1"/>
              </w:rPr>
            </w:pPr>
            <w:r w:rsidRPr="00F70143">
              <w:rPr>
                <w:b/>
                <w:color w:val="FFFFFF" w:themeColor="background1"/>
              </w:rPr>
              <w:t>Date completed</w:t>
            </w:r>
          </w:p>
        </w:tc>
        <w:tc>
          <w:tcPr>
            <w:tcW w:w="10267" w:type="dxa"/>
          </w:tcPr>
          <w:p w:rsidR="00F70143" w:rsidRDefault="00F70143" w:rsidP="00F70143">
            <w:pPr>
              <w:spacing w:before="120" w:after="120"/>
            </w:pPr>
          </w:p>
        </w:tc>
      </w:tr>
    </w:tbl>
    <w:p w:rsidR="00F70143" w:rsidRDefault="00F70143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79"/>
        <w:gridCol w:w="5198"/>
        <w:gridCol w:w="2533"/>
        <w:gridCol w:w="3919"/>
      </w:tblGrid>
      <w:tr w:rsidR="00F70143" w:rsidRPr="006A2600" w:rsidTr="00D66885">
        <w:tc>
          <w:tcPr>
            <w:tcW w:w="2379" w:type="dxa"/>
          </w:tcPr>
          <w:p w:rsidR="00186ECA" w:rsidRPr="006A2600" w:rsidRDefault="00186ECA">
            <w:pPr>
              <w:rPr>
                <w:b/>
              </w:rPr>
            </w:pPr>
            <w:r w:rsidRPr="006A2600">
              <w:rPr>
                <w:b/>
              </w:rPr>
              <w:t>Domain</w:t>
            </w:r>
          </w:p>
        </w:tc>
        <w:tc>
          <w:tcPr>
            <w:tcW w:w="5198" w:type="dxa"/>
          </w:tcPr>
          <w:p w:rsidR="00186ECA" w:rsidRPr="006A2600" w:rsidRDefault="00186ECA">
            <w:pPr>
              <w:rPr>
                <w:b/>
              </w:rPr>
            </w:pPr>
            <w:r w:rsidRPr="006A2600">
              <w:rPr>
                <w:b/>
              </w:rPr>
              <w:t>Competency</w:t>
            </w:r>
          </w:p>
        </w:tc>
        <w:tc>
          <w:tcPr>
            <w:tcW w:w="2533" w:type="dxa"/>
          </w:tcPr>
          <w:p w:rsidR="00186ECA" w:rsidRPr="006A2600" w:rsidRDefault="00186ECA">
            <w:pPr>
              <w:rPr>
                <w:b/>
              </w:rPr>
            </w:pPr>
            <w:r w:rsidRPr="006A2600">
              <w:rPr>
                <w:b/>
              </w:rPr>
              <w:t>Level</w:t>
            </w:r>
          </w:p>
        </w:tc>
        <w:tc>
          <w:tcPr>
            <w:tcW w:w="3919" w:type="dxa"/>
          </w:tcPr>
          <w:p w:rsidR="00186ECA" w:rsidRPr="006A2600" w:rsidRDefault="006A2600">
            <w:pPr>
              <w:rPr>
                <w:b/>
              </w:rPr>
            </w:pPr>
            <w:r>
              <w:rPr>
                <w:b/>
              </w:rPr>
              <w:t xml:space="preserve">Training Planned </w:t>
            </w:r>
            <w:bookmarkStart w:id="0" w:name="_GoBack"/>
            <w:bookmarkEnd w:id="0"/>
          </w:p>
        </w:tc>
      </w:tr>
      <w:tr w:rsidR="00520CE0" w:rsidTr="00D66885">
        <w:tc>
          <w:tcPr>
            <w:tcW w:w="2379" w:type="dxa"/>
            <w:vMerge w:val="restart"/>
          </w:tcPr>
          <w:p w:rsidR="00520CE0" w:rsidRDefault="00520CE0" w:rsidP="00520CE0">
            <w:pPr>
              <w:pStyle w:val="ListParagraph"/>
              <w:numPr>
                <w:ilvl w:val="0"/>
                <w:numId w:val="2"/>
              </w:numPr>
            </w:pPr>
            <w:r>
              <w:t>Scientific concepts &amp; research design: encompasses knowledge of scientific concepts related to the design &amp; analysis of clinical trials</w:t>
            </w:r>
          </w:p>
        </w:tc>
        <w:tc>
          <w:tcPr>
            <w:tcW w:w="5198" w:type="dxa"/>
          </w:tcPr>
          <w:p w:rsidR="00520CE0" w:rsidRDefault="00520CE0" w:rsidP="00520CE0">
            <w:pPr>
              <w:pStyle w:val="ListParagraph"/>
              <w:numPr>
                <w:ilvl w:val="1"/>
                <w:numId w:val="2"/>
              </w:numPr>
            </w:pPr>
            <w:r>
              <w:t>Apply principles of biomedical science to investigational product discovery &amp; development &amp; health-related behavioural interventions</w:t>
            </w:r>
          </w:p>
          <w:p w:rsidR="00520CE0" w:rsidRDefault="00520CE0" w:rsidP="00520CE0"/>
        </w:tc>
        <w:tc>
          <w:tcPr>
            <w:tcW w:w="2533" w:type="dxa"/>
          </w:tcPr>
          <w:p w:rsidR="00520CE0" w:rsidRDefault="00520CE0">
            <w:sdt>
              <w:sdtPr>
                <w:id w:val="-173777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520CE0" w:rsidRDefault="00520CE0">
            <w:sdt>
              <w:sdtPr>
                <w:id w:val="19855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520CE0" w:rsidRDefault="00520CE0">
            <w:sdt>
              <w:sdtPr>
                <w:id w:val="-1587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520CE0" w:rsidRDefault="00520CE0">
            <w:sdt>
              <w:sdtPr>
                <w:id w:val="-19379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520CE0" w:rsidRDefault="00520CE0"/>
        </w:tc>
      </w:tr>
      <w:tr w:rsidR="00520CE0" w:rsidTr="00D66885">
        <w:tc>
          <w:tcPr>
            <w:tcW w:w="2379" w:type="dxa"/>
            <w:vMerge/>
          </w:tcPr>
          <w:p w:rsidR="00520CE0" w:rsidRDefault="00520CE0" w:rsidP="00520CE0"/>
        </w:tc>
        <w:tc>
          <w:tcPr>
            <w:tcW w:w="5198" w:type="dxa"/>
          </w:tcPr>
          <w:p w:rsidR="00520CE0" w:rsidRDefault="00520CE0" w:rsidP="00520CE0">
            <w:pPr>
              <w:pStyle w:val="ListParagraph"/>
              <w:numPr>
                <w:ilvl w:val="1"/>
                <w:numId w:val="2"/>
              </w:numPr>
            </w:pPr>
            <w:r w:rsidRPr="00520CE0">
              <w:t>Identify scientific questions that are potentially testable clinical research hypotheses</w:t>
            </w:r>
          </w:p>
        </w:tc>
        <w:tc>
          <w:tcPr>
            <w:tcW w:w="2533" w:type="dxa"/>
          </w:tcPr>
          <w:p w:rsidR="00520CE0" w:rsidRDefault="00520CE0" w:rsidP="00520CE0">
            <w:sdt>
              <w:sdtPr>
                <w:id w:val="-49757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520CE0" w:rsidRDefault="00520CE0" w:rsidP="00520CE0">
            <w:sdt>
              <w:sdtPr>
                <w:id w:val="38307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520CE0" w:rsidRDefault="00520CE0" w:rsidP="00520CE0">
            <w:sdt>
              <w:sdtPr>
                <w:id w:val="-18252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520CE0" w:rsidRDefault="00520CE0" w:rsidP="00520CE0">
            <w:sdt>
              <w:sdtPr>
                <w:id w:val="19653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520CE0" w:rsidRDefault="00520CE0" w:rsidP="00520CE0"/>
        </w:tc>
      </w:tr>
      <w:tr w:rsidR="00520CE0" w:rsidTr="00D66885">
        <w:tc>
          <w:tcPr>
            <w:tcW w:w="2379" w:type="dxa"/>
            <w:vMerge/>
          </w:tcPr>
          <w:p w:rsidR="00520CE0" w:rsidRDefault="00520CE0" w:rsidP="00520CE0"/>
        </w:tc>
        <w:tc>
          <w:tcPr>
            <w:tcW w:w="5198" w:type="dxa"/>
          </w:tcPr>
          <w:p w:rsidR="00520CE0" w:rsidRPr="00520CE0" w:rsidRDefault="00520CE0" w:rsidP="00520CE0">
            <w:pPr>
              <w:pStyle w:val="ListParagraph"/>
              <w:numPr>
                <w:ilvl w:val="1"/>
                <w:numId w:val="2"/>
              </w:numPr>
            </w:pPr>
            <w:r w:rsidRPr="00520CE0">
              <w:t>Identify the elements and explain the principles and processes of designing a clinical study</w:t>
            </w:r>
          </w:p>
        </w:tc>
        <w:tc>
          <w:tcPr>
            <w:tcW w:w="2533" w:type="dxa"/>
          </w:tcPr>
          <w:p w:rsidR="00520CE0" w:rsidRDefault="00520CE0" w:rsidP="00520CE0">
            <w:sdt>
              <w:sdtPr>
                <w:id w:val="-115668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520CE0" w:rsidRDefault="00520CE0" w:rsidP="00520CE0">
            <w:sdt>
              <w:sdtPr>
                <w:id w:val="-129035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520CE0" w:rsidRDefault="00520CE0" w:rsidP="00520CE0">
            <w:sdt>
              <w:sdtPr>
                <w:id w:val="-18352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520CE0" w:rsidRDefault="00520CE0" w:rsidP="00520CE0">
            <w:sdt>
              <w:sdtPr>
                <w:id w:val="4463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520CE0" w:rsidRDefault="00520CE0" w:rsidP="00520CE0"/>
        </w:tc>
      </w:tr>
      <w:tr w:rsidR="00520CE0" w:rsidTr="00D66885">
        <w:tc>
          <w:tcPr>
            <w:tcW w:w="2379" w:type="dxa"/>
            <w:vMerge/>
          </w:tcPr>
          <w:p w:rsidR="00520CE0" w:rsidRDefault="00520CE0" w:rsidP="00520CE0"/>
        </w:tc>
        <w:tc>
          <w:tcPr>
            <w:tcW w:w="5198" w:type="dxa"/>
          </w:tcPr>
          <w:p w:rsidR="00520CE0" w:rsidRDefault="00520CE0" w:rsidP="00520CE0">
            <w:pPr>
              <w:pStyle w:val="ListParagraph"/>
              <w:numPr>
                <w:ilvl w:val="1"/>
                <w:numId w:val="2"/>
              </w:numPr>
            </w:pPr>
            <w:r w:rsidRPr="00520CE0">
              <w:t xml:space="preserve">Critically </w:t>
            </w:r>
            <w:proofErr w:type="spellStart"/>
            <w:r w:rsidRPr="00520CE0">
              <w:t>analyze</w:t>
            </w:r>
            <w:proofErr w:type="spellEnd"/>
            <w:r w:rsidRPr="00520CE0">
              <w:t xml:space="preserve"> clinical study results</w:t>
            </w:r>
          </w:p>
        </w:tc>
        <w:tc>
          <w:tcPr>
            <w:tcW w:w="2533" w:type="dxa"/>
          </w:tcPr>
          <w:p w:rsidR="00520CE0" w:rsidRDefault="00520CE0" w:rsidP="00520CE0">
            <w:sdt>
              <w:sdtPr>
                <w:id w:val="-12067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520CE0" w:rsidRDefault="00520CE0" w:rsidP="00520CE0">
            <w:sdt>
              <w:sdtPr>
                <w:id w:val="10410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520CE0" w:rsidRDefault="00520CE0" w:rsidP="00520CE0">
            <w:sdt>
              <w:sdtPr>
                <w:id w:val="-140753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520CE0" w:rsidRDefault="00520CE0" w:rsidP="00520CE0">
            <w:sdt>
              <w:sdtPr>
                <w:id w:val="8233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520CE0" w:rsidRDefault="00520CE0" w:rsidP="00520CE0"/>
        </w:tc>
      </w:tr>
      <w:tr w:rsidR="00BB4458" w:rsidTr="00D66885">
        <w:tc>
          <w:tcPr>
            <w:tcW w:w="2379" w:type="dxa"/>
            <w:vMerge w:val="restart"/>
          </w:tcPr>
          <w:p w:rsidR="00BB4458" w:rsidRDefault="00BB4458" w:rsidP="00BB4458">
            <w:pPr>
              <w:pStyle w:val="ListParagraph"/>
              <w:numPr>
                <w:ilvl w:val="0"/>
                <w:numId w:val="2"/>
              </w:numPr>
            </w:pPr>
            <w:r w:rsidRPr="00BB4458">
              <w:t xml:space="preserve">Ethical and Participant Safety Considerations: </w:t>
            </w:r>
            <w:r w:rsidRPr="00BB4458">
              <w:lastRenderedPageBreak/>
              <w:t>Encompasses care of patients, aspects of human subject protection, and safety in the conduct of a clinical trial</w:t>
            </w:r>
          </w:p>
        </w:tc>
        <w:tc>
          <w:tcPr>
            <w:tcW w:w="5198" w:type="dxa"/>
          </w:tcPr>
          <w:p w:rsid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>
              <w:lastRenderedPageBreak/>
              <w:t>Di</w:t>
            </w:r>
            <w:r w:rsidRPr="00520CE0">
              <w:t>fferentiate between standard of care and clinical study activities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-178680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129351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208379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19990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Define the concepts of “clinical equipoise” and “therapeutic misconception” as they relate to the conduct of a clinical study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23243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16449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13309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164785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Apply relevant national and international principles of human subject protections and privacy throughout all stages of a clinical study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-4180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16978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15113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3727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P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Explain the evolution of the requirement for informed consent from research participants and the principles and content of key documents that help ensure the</w:t>
            </w:r>
            <w:r>
              <w:t xml:space="preserve"> </w:t>
            </w:r>
            <w:r w:rsidRPr="00BB4458">
              <w:t>protection of human participants in clinical research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-7277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172651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13751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-16878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P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Describe the ethical issues involved when dealing with vulnerable populations and what additional safeguards should be in place for those populations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-58391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10574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-171403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-2821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P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Evaluate and apply an understanding of the relevant ethical issues and cultural variation as it applies to the commercial aspects of the clinical research and</w:t>
            </w:r>
            <w:r>
              <w:t xml:space="preserve"> </w:t>
            </w:r>
            <w:r w:rsidRPr="00BB4458">
              <w:t>investigational product development process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-10132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53674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1282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196261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P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Explain why inclusion, exclusion, and other criteria are included in a clinical protocol to assure human subject protection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-104290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-194899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-36814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9872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BB4458" w:rsidTr="00D66885">
        <w:tc>
          <w:tcPr>
            <w:tcW w:w="2379" w:type="dxa"/>
            <w:vMerge/>
          </w:tcPr>
          <w:p w:rsidR="00BB4458" w:rsidRDefault="00BB4458" w:rsidP="00BB4458"/>
        </w:tc>
        <w:tc>
          <w:tcPr>
            <w:tcW w:w="5198" w:type="dxa"/>
          </w:tcPr>
          <w:p w:rsidR="00BB4458" w:rsidRPr="00BB4458" w:rsidRDefault="00BB4458" w:rsidP="00BB4458">
            <w:pPr>
              <w:pStyle w:val="ListParagraph"/>
              <w:numPr>
                <w:ilvl w:val="1"/>
                <w:numId w:val="4"/>
              </w:numPr>
            </w:pPr>
            <w:r w:rsidRPr="00BB4458">
              <w:t>Summarize the principles and methods of distributing and balancing risk and benefit; through selection and management of clinical study subjects</w:t>
            </w:r>
          </w:p>
        </w:tc>
        <w:tc>
          <w:tcPr>
            <w:tcW w:w="2533" w:type="dxa"/>
          </w:tcPr>
          <w:p w:rsidR="00BB4458" w:rsidRDefault="00BB4458" w:rsidP="00BB4458">
            <w:sdt>
              <w:sdtPr>
                <w:id w:val="7668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BB4458" w:rsidRDefault="00BB4458" w:rsidP="00BB4458">
            <w:sdt>
              <w:sdtPr>
                <w:id w:val="965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BB4458" w:rsidRDefault="00BB4458" w:rsidP="00BB4458">
            <w:sdt>
              <w:sdtPr>
                <w:id w:val="8952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BB4458" w:rsidRDefault="00BB4458" w:rsidP="00BB4458">
            <w:sdt>
              <w:sdtPr>
                <w:id w:val="181120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BB4458" w:rsidRDefault="00BB4458" w:rsidP="00BB4458"/>
        </w:tc>
      </w:tr>
      <w:tr w:rsidR="00D66885" w:rsidTr="00D66885">
        <w:tc>
          <w:tcPr>
            <w:tcW w:w="2379" w:type="dxa"/>
            <w:vMerge w:val="restart"/>
          </w:tcPr>
          <w:p w:rsidR="00D66885" w:rsidRDefault="00D66885" w:rsidP="00D66885">
            <w:pPr>
              <w:pStyle w:val="ListParagraph"/>
              <w:numPr>
                <w:ilvl w:val="0"/>
                <w:numId w:val="2"/>
              </w:numPr>
            </w:pPr>
            <w:r w:rsidRPr="00D66885">
              <w:lastRenderedPageBreak/>
              <w:t>Investigational Products Development and Regulation: Encompasses knowledge of how investigational products are developed and regulated</w:t>
            </w:r>
          </w:p>
        </w:tc>
        <w:tc>
          <w:tcPr>
            <w:tcW w:w="5198" w:type="dxa"/>
          </w:tcPr>
          <w:p w:rsidR="00D66885" w:rsidRPr="00EF3F4A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3.1  </w:t>
            </w:r>
            <w:r w:rsidRPr="00BB4458">
              <w:t>Discuss the historical events that precipitated the development of governmental regulatory processes for investigational products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5567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4521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14748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149507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/>
        </w:tc>
        <w:tc>
          <w:tcPr>
            <w:tcW w:w="5198" w:type="dxa"/>
          </w:tcPr>
          <w:p w:rsidR="00D66885" w:rsidRPr="00D66885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</w:rPr>
            </w:pPr>
            <w:r w:rsidRPr="00D66885">
              <w:rPr>
                <w:rFonts w:ascii="Calibri" w:hAnsi="Calibri" w:cs="Calibri"/>
              </w:rPr>
              <w:t xml:space="preserve">3.2 </w:t>
            </w:r>
            <w:r w:rsidRPr="00D66885">
              <w:rPr>
                <w:rFonts w:ascii="Calibri" w:hAnsi="Calibri" w:cs="Calibri"/>
              </w:rPr>
              <w:t>Describe the roles and responsibilities of the various institutions participating in the investigational products development process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872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7791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21262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66863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/>
        </w:tc>
        <w:tc>
          <w:tcPr>
            <w:tcW w:w="5198" w:type="dxa"/>
          </w:tcPr>
          <w:p w:rsidR="00D66885" w:rsidRPr="00D66885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3.3 </w:t>
            </w:r>
            <w:r w:rsidRPr="00D66885">
              <w:rPr>
                <w:rFonts w:ascii="Calibri" w:hAnsi="Calibri" w:cs="Calibri"/>
              </w:rPr>
              <w:t>Explain the investigational products development process and the activities which integrate commercial realities into the life cycle management of medical products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0920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91600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9864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6482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/>
        </w:tc>
        <w:tc>
          <w:tcPr>
            <w:tcW w:w="5198" w:type="dxa"/>
          </w:tcPr>
          <w:p w:rsidR="00D66885" w:rsidRPr="00D66885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3.4 </w:t>
            </w:r>
            <w:r w:rsidRPr="00D66885">
              <w:rPr>
                <w:rFonts w:ascii="Calibri" w:hAnsi="Calibri" w:cs="Calibri"/>
              </w:rPr>
              <w:t>Summarize the legislative and regulatory framework that supports the development and registration of investigational products and ensures their safety, efficacy and</w:t>
            </w:r>
            <w:r>
              <w:rPr>
                <w:rFonts w:ascii="Calibri" w:hAnsi="Calibri" w:cs="Calibri"/>
              </w:rPr>
              <w:t xml:space="preserve"> </w:t>
            </w:r>
            <w:r w:rsidRPr="00D66885">
              <w:rPr>
                <w:rFonts w:ascii="Calibri" w:hAnsi="Calibri" w:cs="Calibri"/>
              </w:rPr>
              <w:t>Quality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0138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205681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0602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3533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/>
        </w:tc>
        <w:tc>
          <w:tcPr>
            <w:tcW w:w="5198" w:type="dxa"/>
          </w:tcPr>
          <w:p w:rsidR="00D66885" w:rsidRPr="00D66885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3.5 </w:t>
            </w:r>
            <w:r w:rsidRPr="00D66885">
              <w:rPr>
                <w:rFonts w:ascii="Calibri" w:hAnsi="Calibri" w:cs="Calibri"/>
              </w:rPr>
              <w:t>Describe the specific processes and phases that must be followed for the regulatory authority to approve the marketing authorization for a medical product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5937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1711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9476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180452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/>
        </w:tc>
        <w:tc>
          <w:tcPr>
            <w:tcW w:w="5198" w:type="dxa"/>
          </w:tcPr>
          <w:p w:rsidR="00D66885" w:rsidRPr="00D66885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3.6 </w:t>
            </w:r>
            <w:r w:rsidRPr="00D66885">
              <w:rPr>
                <w:rFonts w:ascii="Calibri" w:hAnsi="Calibri" w:cs="Calibri"/>
              </w:rPr>
              <w:t>Describe the pre- and post- approval safety reporting requirements of regulatory agencies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45857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1985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265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7794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/>
        </w:tc>
        <w:tc>
          <w:tcPr>
            <w:tcW w:w="5198" w:type="dxa"/>
          </w:tcPr>
          <w:p w:rsidR="00D66885" w:rsidRPr="00D66885" w:rsidRDefault="00D66885" w:rsidP="00D66885">
            <w:pPr>
              <w:autoSpaceDE w:val="0"/>
              <w:autoSpaceDN w:val="0"/>
              <w:adjustRightInd w:val="0"/>
              <w:ind w:left="327" w:hanging="3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3.7 </w:t>
            </w:r>
            <w:r w:rsidRPr="00D66885">
              <w:rPr>
                <w:rFonts w:ascii="Calibri" w:hAnsi="Calibri" w:cs="Calibri"/>
              </w:rPr>
              <w:t>Appraise the issues generated and the effects of global expansion on the approval and regulation of medical products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7817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4021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9456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3251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 w:val="restart"/>
          </w:tcPr>
          <w:p w:rsidR="00D66885" w:rsidRDefault="00D66885" w:rsidP="00D66885">
            <w:pPr>
              <w:pStyle w:val="ListParagraph"/>
              <w:numPr>
                <w:ilvl w:val="0"/>
                <w:numId w:val="2"/>
              </w:numPr>
            </w:pPr>
            <w:r w:rsidRPr="00D66885">
              <w:t xml:space="preserve">Clinical Study Operations (Good Clinical Practice): </w:t>
            </w:r>
            <w:r w:rsidRPr="00D66885">
              <w:lastRenderedPageBreak/>
              <w:t xml:space="preserve">Encompasses study management (adverse event identification and reporting, post-market </w:t>
            </w:r>
            <w:r>
              <w:t xml:space="preserve">surveillance </w:t>
            </w:r>
            <w:r w:rsidRPr="00D66885">
              <w:t>and pharmacovigilance), and handling of investigational product.</w:t>
            </w: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lastRenderedPageBreak/>
              <w:t>4.1 Explain how the design, purpose, and conduct of individual clinical studies fit into the goal of developing a new intervention</w:t>
            </w:r>
          </w:p>
          <w:p w:rsidR="00D66885" w:rsidRDefault="00D66885" w:rsidP="00D66885">
            <w:pPr>
              <w:ind w:left="327" w:hanging="327"/>
            </w:pP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61768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0634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7105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13061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4.2 Describe the roles and responsibilities of the clinical investigation team as defined by Good Clinical Practice Guidelines</w:t>
            </w:r>
          </w:p>
          <w:p w:rsidR="00D66885" w:rsidRDefault="00D66885" w:rsidP="00D66885">
            <w:pPr>
              <w:ind w:left="327" w:hanging="327"/>
            </w:pP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2372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8549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0158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4026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4.3 Evaluate the design, conduct and documentation of clinical studies as required for compliance with Good Clinical Practice Guidelines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6067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3324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07751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174283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4.4 Compare and contrast the regulations and guidelines of global regulatory bodies relating to the conduct of clinical studies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1930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9248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54983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1949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4.5 Describe appropriate control, storage and dispensing of investigational product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4111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80164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3021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149271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4.6 Differentiate the types of adverse events (AEs) that may occur during clinical studies and explain the identification process and reporting requirement to IRBs/IECs,</w:t>
            </w:r>
          </w:p>
          <w:p w:rsidR="00D66885" w:rsidRDefault="00D66885" w:rsidP="00D66885">
            <w:pPr>
              <w:ind w:left="327" w:hanging="327"/>
            </w:pPr>
            <w:r w:rsidRPr="00D66885">
              <w:t>sponsors and regulatory authorities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7809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9513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9450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19573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4.7 Describe how global regulations and guidelines assure human subject protection and privacy during the conduct of clinical studies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50909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0099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88662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22976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4.8 Describe the role and process of monitoring a clinical study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39485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7627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8951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45981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4.9 Describe the role and purpose of clinical study audits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1946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4878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0582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76869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4.10 Describe the various methods by which safety issues are identified and managed in clinical studies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9382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5801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60006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19897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 w:val="restart"/>
          </w:tcPr>
          <w:p w:rsidR="00D66885" w:rsidRPr="00D66885" w:rsidRDefault="00D66885" w:rsidP="00D66885">
            <w:pPr>
              <w:pStyle w:val="ListParagraph"/>
              <w:numPr>
                <w:ilvl w:val="0"/>
                <w:numId w:val="2"/>
              </w:numPr>
            </w:pPr>
            <w:r w:rsidRPr="00D66885">
              <w:t>Study and Site Management: Encompasses content required at the site level to run a study (financial and personnel aspects). Includes site and study</w:t>
            </w:r>
            <w:r>
              <w:t xml:space="preserve"> </w:t>
            </w:r>
            <w:r w:rsidRPr="00D66885">
              <w:t>operations (not encompassing regulatory/GCPs)</w:t>
            </w: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5.1 Describe the methods used to determine whether to sponsor, supervise or participate in a clinical study</w:t>
            </w:r>
          </w:p>
          <w:p w:rsidR="00D66885" w:rsidRDefault="00D66885" w:rsidP="00D66885">
            <w:pPr>
              <w:ind w:left="327" w:hanging="327"/>
            </w:pP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63795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88638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03727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4876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5.2 Develop and manage the financial, timeline, and personnel resources necessary to conduct a clinical study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070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9284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8562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9751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5.3 Describe the management and training approaches to mitigate risk to improve clinical study conduct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197301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16179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93474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14092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5.4 Develop strategies to manage participant recruitment, retention, compliance and track study activities.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569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40259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161956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20562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>5.5 Identify the legal responsibilities, liabilities and accountabilities that are involved in the conduct of clinical studies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8234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2961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-10633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10118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D66885" w:rsidTr="00D66885">
        <w:tc>
          <w:tcPr>
            <w:tcW w:w="2379" w:type="dxa"/>
            <w:vMerge/>
          </w:tcPr>
          <w:p w:rsidR="00D66885" w:rsidRDefault="00D66885" w:rsidP="00D66885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D66885" w:rsidRPr="00D66885" w:rsidRDefault="00D66885" w:rsidP="00D66885">
            <w:pPr>
              <w:ind w:left="327" w:hanging="327"/>
            </w:pPr>
            <w:r w:rsidRPr="00D66885">
              <w:t xml:space="preserve">5.6 Identify and explain the specific procedural, documentation and oversight requirements of principal investigators, sponsors, CROs and </w:t>
            </w:r>
            <w:r w:rsidRPr="00D66885">
              <w:lastRenderedPageBreak/>
              <w:t>regulatory authorities that</w:t>
            </w:r>
            <w:r>
              <w:t xml:space="preserve"> </w:t>
            </w:r>
            <w:r w:rsidRPr="00D66885">
              <w:t>relate to the conduct of a clinical study</w:t>
            </w:r>
          </w:p>
        </w:tc>
        <w:tc>
          <w:tcPr>
            <w:tcW w:w="2533" w:type="dxa"/>
          </w:tcPr>
          <w:p w:rsidR="00D66885" w:rsidRDefault="00D66885" w:rsidP="00D66885">
            <w:sdt>
              <w:sdtPr>
                <w:id w:val="-17257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D66885" w:rsidRDefault="00D66885" w:rsidP="00D66885">
            <w:sdt>
              <w:sdtPr>
                <w:id w:val="-170215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D66885" w:rsidRDefault="00D66885" w:rsidP="00D66885">
            <w:sdt>
              <w:sdtPr>
                <w:id w:val="5006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D66885" w:rsidRDefault="00D66885" w:rsidP="00D66885">
            <w:sdt>
              <w:sdtPr>
                <w:id w:val="-63441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D66885" w:rsidRDefault="00D66885" w:rsidP="00D66885"/>
        </w:tc>
      </w:tr>
      <w:tr w:rsidR="00F70143" w:rsidTr="00D66885">
        <w:tc>
          <w:tcPr>
            <w:tcW w:w="2379" w:type="dxa"/>
            <w:vMerge w:val="restart"/>
          </w:tcPr>
          <w:p w:rsidR="00F70143" w:rsidRPr="00D66885" w:rsidRDefault="00F70143" w:rsidP="00F70143">
            <w:pPr>
              <w:pStyle w:val="ListParagraph"/>
              <w:numPr>
                <w:ilvl w:val="0"/>
                <w:numId w:val="2"/>
              </w:numPr>
            </w:pPr>
            <w:r w:rsidRPr="00D66885">
              <w:t>Data Management and Informatics: Encompasses how data are acquired and managed during a clinical trial, including source data, data entry, queries, quality control, and correction and the concept of a locked database</w:t>
            </w:r>
          </w:p>
        </w:tc>
        <w:tc>
          <w:tcPr>
            <w:tcW w:w="5198" w:type="dxa"/>
          </w:tcPr>
          <w:p w:rsidR="00F70143" w:rsidRPr="00D66885" w:rsidRDefault="00F70143" w:rsidP="00F70143">
            <w:pPr>
              <w:ind w:left="327" w:hanging="327"/>
            </w:pPr>
            <w:r w:rsidRPr="00D66885">
              <w:t>6.1 Describe the role and importance of statistics and informatics in clinical studies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8735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70266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83969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7456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D66885" w:rsidRDefault="00F70143" w:rsidP="00F70143">
            <w:pPr>
              <w:ind w:left="327" w:hanging="327"/>
            </w:pPr>
            <w:r w:rsidRPr="00D66885">
              <w:t>6.2 Describe the origin, flow, and management of data through a clinical study</w:t>
            </w: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-86529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166697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1585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-3450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D66885" w:rsidRDefault="00F70143" w:rsidP="00F70143">
            <w:pPr>
              <w:ind w:left="327" w:hanging="327"/>
            </w:pPr>
            <w:r w:rsidRPr="00D66885">
              <w:t>6.3 Describe best practices and resources required for standardizing data collection, capture, management, analysis, and reporting</w:t>
            </w: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185121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15292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13238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41976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D66885" w:rsidRDefault="00F70143" w:rsidP="00F70143">
            <w:pPr>
              <w:ind w:left="327" w:hanging="327"/>
            </w:pPr>
            <w:r w:rsidRPr="00D66885">
              <w:t>6.4 Describe, develop, and implement processes for data quality assurance</w:t>
            </w: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-95223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-19396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49469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25794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 w:val="restart"/>
          </w:tcPr>
          <w:p w:rsidR="00F70143" w:rsidRPr="00F70143" w:rsidRDefault="00F70143" w:rsidP="00F70143">
            <w:pPr>
              <w:pStyle w:val="ListParagraph"/>
              <w:numPr>
                <w:ilvl w:val="0"/>
                <w:numId w:val="2"/>
              </w:numPr>
            </w:pPr>
            <w:r w:rsidRPr="00F70143">
              <w:t>Leadership and Professionalism: Encompasses the principles and practice of leadership and professionalism in clinical research</w:t>
            </w: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7.1 Describe and apply the principles and practices of leadership, management and mentorship in clinical research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14536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-68281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3289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5835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7.2 Identify ethical and professional conflicts associated with the conduct of clinical studies and implement procedures for their prevention or management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9474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5467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45583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-132604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7.3 Identify and apply the professional guidelines and codes of ethics that apply to the conduct of clinical research.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21055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9845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9928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9846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7.4 Describe the impact of regional diversity and demonstrate cultural competency in clinical study design and conduct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20373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-105315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12460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-4715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 w:val="restart"/>
          </w:tcPr>
          <w:p w:rsidR="00F70143" w:rsidRPr="00F70143" w:rsidRDefault="00F70143" w:rsidP="00F70143">
            <w:pPr>
              <w:pStyle w:val="ListParagraph"/>
              <w:numPr>
                <w:ilvl w:val="0"/>
                <w:numId w:val="2"/>
              </w:numPr>
            </w:pPr>
            <w:r w:rsidRPr="00F70143">
              <w:t xml:space="preserve">Communications and Teamwork: Encompasses all elements of communication within the site and between the site and sponsor, CRO, and </w:t>
            </w:r>
            <w:r>
              <w:t>re</w:t>
            </w:r>
            <w:r w:rsidRPr="00F70143">
              <w:t>gulators.</w:t>
            </w:r>
            <w:r>
              <w:t xml:space="preserve"> </w:t>
            </w:r>
            <w:r w:rsidRPr="00F70143">
              <w:t>Understanding of teamwork skills necessary for conducting a clinical trial</w:t>
            </w: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8.1 Discuss the relationship and appropriate communication between Sponsor, CRO and clinical research site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-5094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99861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14602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9335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8.2 Describe the components of a traditional scientific publication</w:t>
            </w: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70491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19154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3191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-51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8.3 Effectively communicate the content and relevance of clinical research findings to colleagues, advocacy groups and the non-scientist community.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17923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3536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143976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-12576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  <w:tr w:rsidR="00F70143" w:rsidTr="00D66885">
        <w:tc>
          <w:tcPr>
            <w:tcW w:w="2379" w:type="dxa"/>
            <w:vMerge/>
          </w:tcPr>
          <w:p w:rsidR="00F70143" w:rsidRDefault="00F70143" w:rsidP="00F70143">
            <w:pPr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</w:p>
        </w:tc>
        <w:tc>
          <w:tcPr>
            <w:tcW w:w="5198" w:type="dxa"/>
          </w:tcPr>
          <w:p w:rsidR="00F70143" w:rsidRPr="00F70143" w:rsidRDefault="00F70143" w:rsidP="00F70143">
            <w:pPr>
              <w:ind w:left="327" w:hanging="327"/>
            </w:pPr>
            <w:r w:rsidRPr="00F70143">
              <w:t>8.4 Describe the importance of team science and methods necessary to work effectively with multidisciplinary and inter-professional research teams.</w:t>
            </w:r>
          </w:p>
          <w:p w:rsidR="00F70143" w:rsidRDefault="00F70143" w:rsidP="00F70143">
            <w:pPr>
              <w:ind w:left="327" w:hanging="327"/>
            </w:pPr>
          </w:p>
        </w:tc>
        <w:tc>
          <w:tcPr>
            <w:tcW w:w="2533" w:type="dxa"/>
          </w:tcPr>
          <w:p w:rsidR="00F70143" w:rsidRDefault="00F70143" w:rsidP="00F70143">
            <w:sdt>
              <w:sdtPr>
                <w:id w:val="-70247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Fundamental </w:t>
            </w:r>
          </w:p>
          <w:p w:rsidR="00F70143" w:rsidRDefault="00F70143" w:rsidP="00F70143">
            <w:sdt>
              <w:sdtPr>
                <w:id w:val="-49803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Skilled</w:t>
            </w:r>
          </w:p>
          <w:p w:rsidR="00F70143" w:rsidRDefault="00F70143" w:rsidP="00F70143">
            <w:sdt>
              <w:sdtPr>
                <w:id w:val="-107951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Advanced</w:t>
            </w:r>
          </w:p>
          <w:p w:rsidR="00F70143" w:rsidRDefault="00F70143" w:rsidP="00F70143">
            <w:sdt>
              <w:sdtPr>
                <w:id w:val="5740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Applicable</w:t>
            </w:r>
          </w:p>
        </w:tc>
        <w:tc>
          <w:tcPr>
            <w:tcW w:w="3919" w:type="dxa"/>
          </w:tcPr>
          <w:p w:rsidR="00F70143" w:rsidRDefault="00F70143" w:rsidP="00F70143"/>
        </w:tc>
      </w:tr>
    </w:tbl>
    <w:p w:rsidR="00186ECA" w:rsidRPr="00186ECA" w:rsidRDefault="00186ECA" w:rsidP="00186ECA"/>
    <w:sectPr w:rsidR="00186ECA" w:rsidRPr="00186ECA" w:rsidSect="00186EC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41" w:rsidRDefault="00B35141" w:rsidP="00F70143">
      <w:pPr>
        <w:spacing w:after="0" w:line="240" w:lineRule="auto"/>
      </w:pPr>
      <w:r>
        <w:separator/>
      </w:r>
    </w:p>
  </w:endnote>
  <w:endnote w:type="continuationSeparator" w:id="0">
    <w:p w:rsidR="00B35141" w:rsidRDefault="00B35141" w:rsidP="00F7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43" w:rsidRPr="00F70143" w:rsidRDefault="006A2600" w:rsidP="00F70143">
    <w:pPr>
      <w:pStyle w:val="Footer"/>
      <w:pBdr>
        <w:top w:val="single" w:sz="4" w:space="1" w:color="auto"/>
      </w:pBdr>
      <w:rPr>
        <w:lang w:val="en-US"/>
      </w:rPr>
    </w:pPr>
    <w:r>
      <w:rPr>
        <w:lang w:val="en-US"/>
      </w:rPr>
      <w:t>FM_029_</w:t>
    </w:r>
    <w:r w:rsidR="00F70143">
      <w:rPr>
        <w:lang w:val="en-US"/>
      </w:rPr>
      <w:t xml:space="preserve">Competency Form adapted for the Joint Task Force Core Competencies </w:t>
    </w:r>
    <w:r w:rsidR="00F70143">
      <w:rPr>
        <w:rFonts w:ascii="Calibri" w:hAnsi="Calibri" w:cs="Calibri"/>
        <w:color w:val="0563C2"/>
        <w:sz w:val="24"/>
        <w:szCs w:val="24"/>
      </w:rPr>
      <w:t>https://www.clinicaltrialcompetency.org/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41" w:rsidRDefault="00B35141" w:rsidP="00F70143">
      <w:pPr>
        <w:spacing w:after="0" w:line="240" w:lineRule="auto"/>
      </w:pPr>
      <w:r>
        <w:separator/>
      </w:r>
    </w:p>
  </w:footnote>
  <w:footnote w:type="continuationSeparator" w:id="0">
    <w:p w:rsidR="00B35141" w:rsidRDefault="00B35141" w:rsidP="00F7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43" w:rsidRDefault="00F70143">
    <w:pPr>
      <w:pStyle w:val="Header"/>
    </w:pPr>
    <w:r w:rsidRPr="00F70143">
      <w:drawing>
        <wp:anchor distT="0" distB="0" distL="114300" distR="114300" simplePos="0" relativeHeight="251659264" behindDoc="0" locked="0" layoutInCell="1" allowOverlap="1" wp14:anchorId="46F4D70A" wp14:editId="39EA7ED0">
          <wp:simplePos x="0" y="0"/>
          <wp:positionH relativeFrom="margin">
            <wp:align>left</wp:align>
          </wp:positionH>
          <wp:positionV relativeFrom="margin">
            <wp:posOffset>-703580</wp:posOffset>
          </wp:positionV>
          <wp:extent cx="1572260" cy="537845"/>
          <wp:effectExtent l="0" t="0" r="889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0143">
      <w:drawing>
        <wp:anchor distT="0" distB="0" distL="114300" distR="114300" simplePos="0" relativeHeight="251660288" behindDoc="0" locked="0" layoutInCell="1" allowOverlap="1" wp14:anchorId="1C2369CB" wp14:editId="159E4606">
          <wp:simplePos x="0" y="0"/>
          <wp:positionH relativeFrom="margin">
            <wp:posOffset>6877685</wp:posOffset>
          </wp:positionH>
          <wp:positionV relativeFrom="topMargin">
            <wp:posOffset>266700</wp:posOffset>
          </wp:positionV>
          <wp:extent cx="1987550" cy="547370"/>
          <wp:effectExtent l="0" t="0" r="0" b="508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SLH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3562"/>
    <w:multiLevelType w:val="multilevel"/>
    <w:tmpl w:val="E190E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8EB1BDC"/>
    <w:multiLevelType w:val="multilevel"/>
    <w:tmpl w:val="16426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167CD4"/>
    <w:multiLevelType w:val="hybridMultilevel"/>
    <w:tmpl w:val="F044E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3143"/>
    <w:multiLevelType w:val="multilevel"/>
    <w:tmpl w:val="E190E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4A"/>
    <w:rsid w:val="00186ECA"/>
    <w:rsid w:val="00301402"/>
    <w:rsid w:val="00520CE0"/>
    <w:rsid w:val="006A2600"/>
    <w:rsid w:val="00B35141"/>
    <w:rsid w:val="00BB4458"/>
    <w:rsid w:val="00D66885"/>
    <w:rsid w:val="00EF3F4A"/>
    <w:rsid w:val="00F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5CF5-7ABE-4BEB-97BF-0137F13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43"/>
  </w:style>
  <w:style w:type="paragraph" w:styleId="Footer">
    <w:name w:val="footer"/>
    <w:basedOn w:val="Normal"/>
    <w:link w:val="FooterChar"/>
    <w:uiPriority w:val="99"/>
    <w:unhideWhenUsed/>
    <w:rsid w:val="00F70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SWSLHD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Ford</dc:creator>
  <cp:keywords/>
  <dc:description/>
  <cp:lastModifiedBy>Megan Ford </cp:lastModifiedBy>
  <cp:revision>1</cp:revision>
  <dcterms:created xsi:type="dcterms:W3CDTF">2020-05-22T08:20:00Z</dcterms:created>
  <dcterms:modified xsi:type="dcterms:W3CDTF">2020-05-23T06:06:00Z</dcterms:modified>
</cp:coreProperties>
</file>